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tbl>
      <w:tblPr>
        <w:tblStyle w:val="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71"/>
        <w:gridCol w:w="6974"/>
        <w:gridCol w:w="387"/>
        <w:gridCol w:w="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1250"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附</w:t>
            </w:r>
            <w:r>
              <w:rPr>
                <w:rFonts w:hint="eastAsia" w:ascii="宋体" w:hAnsi="宋体" w:eastAsia="宋体" w:cs="宋体"/>
                <w:color w:val="000000"/>
                <w:spacing w:val="0"/>
                <w:kern w:val="0"/>
                <w:sz w:val="24"/>
                <w:szCs w:val="24"/>
                <w:lang w:eastAsia="zh-CN"/>
              </w:rPr>
              <w:t>表</w:t>
            </w:r>
            <w:r>
              <w:rPr>
                <w:rFonts w:hint="eastAsia" w:ascii="宋体" w:hAnsi="宋体" w:eastAsia="宋体" w:cs="宋体"/>
                <w:color w:val="000000"/>
                <w:spacing w:val="0"/>
                <w:kern w:val="0"/>
                <w:sz w:val="24"/>
                <w:szCs w:val="24"/>
              </w:rPr>
              <w:t>1-1.</w:t>
            </w:r>
          </w:p>
        </w:tc>
        <w:tc>
          <w:tcPr>
            <w:tcW w:w="697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387"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36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exact"/>
          <w:jc w:val="center"/>
        </w:trPr>
        <w:tc>
          <w:tcPr>
            <w:tcW w:w="8980" w:type="dxa"/>
            <w:gridSpan w:val="5"/>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center"/>
              <w:textAlignment w:val="auto"/>
              <w:outlineLvl w:val="9"/>
              <w:rPr>
                <w:rFonts w:hint="eastAsia" w:ascii="宋体" w:hAnsi="宋体" w:eastAsia="宋体" w:cs="宋体"/>
                <w:b/>
                <w:bCs/>
                <w:color w:val="000000"/>
                <w:spacing w:val="0"/>
                <w:kern w:val="0"/>
                <w:sz w:val="24"/>
                <w:szCs w:val="24"/>
              </w:rPr>
            </w:pPr>
            <w:r>
              <w:rPr>
                <w:rFonts w:hint="eastAsia" w:ascii="宋体" w:hAnsi="宋体" w:eastAsia="宋体" w:cs="宋体"/>
                <w:b/>
                <w:bCs/>
                <w:color w:val="000000"/>
                <w:spacing w:val="0"/>
                <w:kern w:val="0"/>
                <w:sz w:val="24"/>
                <w:szCs w:val="24"/>
              </w:rPr>
              <w:t>客观标准考核内容（重整案件）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47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序号</w:t>
            </w:r>
          </w:p>
        </w:tc>
        <w:tc>
          <w:tcPr>
            <w:tcW w:w="77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事项</w:t>
            </w:r>
          </w:p>
        </w:tc>
        <w:tc>
          <w:tcPr>
            <w:tcW w:w="697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具体内容</w:t>
            </w:r>
          </w:p>
        </w:tc>
        <w:tc>
          <w:tcPr>
            <w:tcW w:w="38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分数</w:t>
            </w:r>
          </w:p>
        </w:tc>
        <w:tc>
          <w:tcPr>
            <w:tcW w:w="36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人员管理</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管理人应保证团队的组成人员取得相关职业资格，并报法院备案。</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管理人团队的组成人员应当保持稳定，发生变化应及时告知法院，避免影响工作效率或出现工作失误。</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制度管理</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经法院指定为管理人后，应当制定完备的规章制度报法院备案，规范管理人的各项工作。</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4</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公章管理</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案件受理后应及时刻制管理人印章，交法院封样备案，并设置印章使用登记记录，确保依法使用。</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5</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管理人依法终止职务后，应及时到公安机关办理管理人印章销毁手续，并报法院备案。</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6</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财务管理</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案件受理后应及时开立管理人账户，并有专人管理。</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7</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管理人账户需设置资金支出审批程序，大额支出应经法院审核批准。</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8</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每项支出必须合理，尽量节约破产费用，账户资金进出必须登记，严格执行财务收支管理制度。</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9</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档案管理</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及时建立清算档案，做到一事一汇总，建立债权人查阅、工作人员借阅登记制度。</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w:t>
            </w:r>
          </w:p>
        </w:tc>
        <w:tc>
          <w:tcPr>
            <w:tcW w:w="771"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接管</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高效做好债务人文件、财务和资产接收工作，接管后及时向法院提交接管报告。</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11</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在指定期限及指定报刊及时刊登公告，及时提请法院对债务人财产采取查封或解封措施。</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12</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债权审核</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对劳动债权及申报的债权能依法及时分类审查、予以公示和登记造册，并报法院审查备案。</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13</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财务审计</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能及时编制公司债权、债务和财产清册，按时完成对债务人财务账册的审计并出具审计结论，无账册可供审计的能及时制作财产状况说明。</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14</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发现债务人有关人员在案件受理前有隐匿或故意销毁财务资料等情形的，能及时报告法院。</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15</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主动关注债务人注册资金、对外投资、资金流向等相关情况，发现债务人存在转移、隐匿财产或虚假破产情形的，能及时报告法院。</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16</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债权人会议</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能协助法院筹备债权人会议并及时提交债权人会议资料。</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17</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召开债权人会议能够避免程序不当或失误的情况，确保债权人会议顺利召开。</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18</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财产管理与尽职调查</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能视案件具体情况提请法院指定债权人会议主席及设立债权人委员会。</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19</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能够及时审核债务人有关文件，对债务人和当事人均未履行完毕的合同，准确判断是否继续履行或解除。</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20</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对债务人财产能统筹管理，及时盘点、登记、清理甄别财产权属。</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21</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财产追收</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掌握相关财产线索后，能通过充分协调、调查、诉讼等方式追回财产，需要停止追收财产或放弃权利的，应经过充分论证并制定详细方案报法院备查。</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22</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能积极发挥主观能动性，发现存在企业破产法第三十一条、第三十二条、第三十三条和第三十六条规定行为的能及时主张权利。</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23</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对涉及债务人的诉讼，能严格按照法定程序参与诉讼活动，维护债务人合法权益。</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24</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债务人开办的合资子公司或者实际控制的公司符合合并破产条件的，应拟定方案提请法院审查。</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25</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财产处置与分配</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对债务人财产能及时评估、拍卖，使债务人财产价值最大化。</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26</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改变财产拍卖处置、财产分配方式的，应充分论证并制定合理方案报经法院许可。</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27</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重整阶段</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债务人自行管理财产和营业事务的，管理人应当制定监督制度监督债务人。</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28</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重整期间，债务人的经营和财产状况持续恶化，缺乏挽救的可能性，或者债务人有欺诈、恶意减少债务人财产或者其他显著不利于债权人的行为，或者由于债务人的行为致使管理人无法执行职务的，管理人应当及时书面报告法院，请求法院裁定终止重整程序，并宣告债务人破产。</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29</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管理人必须严格按照法律规定的要求制作或者监督债务人制作重整计划草案，重整计划草案合法、合理并具可行性。</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31</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按照重整计划的规定监督重整计划的执行，及时向法院提交监督报告，详细说明重整计划的执行情况。</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32</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债务人不能执行或者不执行重整计划的，应当及时书面报告法院，请求法院裁定终止重整计划的执行，并宣告债务人破产。</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47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33</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申请终结破产程序</w:t>
            </w:r>
          </w:p>
        </w:tc>
        <w:tc>
          <w:tcPr>
            <w:tcW w:w="69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及时提请法院终结破产程序并根据案件实际情况办理注销手续，及时移交管理人档案。</w:t>
            </w:r>
          </w:p>
        </w:tc>
        <w:tc>
          <w:tcPr>
            <w:tcW w:w="38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bl>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right="0" w:rightChars="0"/>
        <w:jc w:val="both"/>
        <w:textAlignment w:val="auto"/>
        <w:outlineLvl w:val="9"/>
        <w:rPr>
          <w:rFonts w:hint="eastAsia" w:ascii="宋体" w:hAnsi="宋体" w:eastAsia="宋体" w:cs="宋体"/>
          <w:spacing w:val="0"/>
          <w:kern w:val="0"/>
          <w:sz w:val="24"/>
          <w:szCs w:val="24"/>
        </w:rPr>
        <w:sectPr>
          <w:footerReference r:id="rId3" w:type="default"/>
          <w:footerReference r:id="rId4" w:type="even"/>
          <w:pgSz w:w="11906" w:h="16157"/>
          <w:pgMar w:top="1701" w:right="1417" w:bottom="1701" w:left="1417" w:header="964" w:footer="1077" w:gutter="0"/>
          <w:pgNumType w:fmt="decimal"/>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jc w:val="right"/>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807C4"/>
    <w:rsid w:val="29B807C4"/>
    <w:rsid w:val="7E1F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2021-03-31T02:39:00Z</dcterms:created>
  <dc:creator>李丽楠</dc:creator>
  <cp:lastModifiedBy>李丽楠</cp:lastModifiedBy>
  <dcterms:modified xsi:type="dcterms:W3CDTF">2021-03-31T02:40:14Z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1A521B31A7CA4ECE9A0C08D714239F6A</vt:lpwstr>
  </property>
</Properties>
</file>